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7"/>
        <w:gridCol w:w="2623"/>
        <w:gridCol w:w="2623"/>
        <w:gridCol w:w="2625"/>
        <w:tblGridChange w:id="0">
          <w:tblGrid>
            <w:gridCol w:w="1417"/>
            <w:gridCol w:w="2623"/>
            <w:gridCol w:w="2623"/>
            <w:gridCol w:w="26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b3e5a1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Naziv predmeta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Osnove zaštite prirode i okoliša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b3e5a1" w:val="clear"/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Šifra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259296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b3e5a1" w:val="clear"/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Studij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Doktorski studij Zaštita prirode i okoliša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b3e5a1" w:val="clear"/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Semestar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b3e5a1" w:val="clear"/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ECTS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b3e5a1" w:val="clear"/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Status predmeta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80808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Obvezatni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b3e5a1" w:val="clear"/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Cilj predmeta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Spoznati  interdisciplinarnost područja zaštite prirode i okoliša</w:t>
            </w:r>
          </w:p>
        </w:tc>
      </w:tr>
      <w:tr>
        <w:trPr>
          <w:cantSplit w:val="0"/>
          <w:trHeight w:val="1384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b3e5a1" w:val="clear"/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Ishodi učenja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363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1. Povezati elemente interdisciplinarnog područja zaštite prirode i okoliša;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left="363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2. Upravljati  praćenjem, kontrolom, stabilnim i nestabilnim sustavima;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ind w:left="363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3. Procijeniti svrhu različitih analiza sustava i posljedica na upravljanje sustavima;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ind w:left="363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4. Predložiti upravljanje zaštite prirode i okoliša prema konceptu održivog razvoja;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ind w:left="363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5. Predvidjeti uravnoteženost dobrobiti i slabosti u ekonomskom, ekološkom i pravnom aspektu gospodarenja kompleksnim sustavima.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ind w:left="363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6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b3e5a1" w:val="clear"/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Povezanost ishoda učenja, nastavne aktivnosti i aktivnosti studenata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644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856"/>
              <w:gridCol w:w="613"/>
              <w:gridCol w:w="1214"/>
              <w:gridCol w:w="1803"/>
              <w:gridCol w:w="1578"/>
              <w:gridCol w:w="748"/>
              <w:gridCol w:w="832"/>
              <w:tblGridChange w:id="0">
                <w:tblGrid>
                  <w:gridCol w:w="856"/>
                  <w:gridCol w:w="613"/>
                  <w:gridCol w:w="1214"/>
                  <w:gridCol w:w="1803"/>
                  <w:gridCol w:w="1578"/>
                  <w:gridCol w:w="748"/>
                  <w:gridCol w:w="832"/>
                </w:tblGrid>
              </w:tblGridChange>
            </w:tblGrid>
            <w:tr>
              <w:trPr>
                <w:cantSplit w:val="1"/>
                <w:trHeight w:val="570" w:hRule="atLeast"/>
                <w:tblHeader w:val="0"/>
              </w:trPr>
              <w:tc>
                <w:tcPr>
                  <w:vMerge w:val="restart"/>
                  <w:shd w:fill="b3e5a1" w:val="clear"/>
                  <w:vAlign w:val="center"/>
                </w:tcPr>
                <w:p w:rsidR="00000000" w:rsidDel="00000000" w:rsidP="00000000" w:rsidRDefault="00000000" w:rsidRPr="00000000" w14:paraId="0000002A">
                  <w:pPr>
                    <w:spacing w:after="0" w:line="240" w:lineRule="auto"/>
                    <w:jc w:val="center"/>
                    <w:rPr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Ishod učenja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shd w:fill="b3e5a1" w:val="clear"/>
                  <w:vAlign w:val="center"/>
                </w:tcPr>
                <w:p w:rsidR="00000000" w:rsidDel="00000000" w:rsidP="00000000" w:rsidRDefault="00000000" w:rsidRPr="00000000" w14:paraId="0000002B">
                  <w:pPr>
                    <w:spacing w:after="0" w:line="240" w:lineRule="auto"/>
                    <w:rPr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Udio ECTS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shd w:fill="b3e5a1" w:val="clear"/>
                  <w:vAlign w:val="center"/>
                </w:tcPr>
                <w:p w:rsidR="00000000" w:rsidDel="00000000" w:rsidP="00000000" w:rsidRDefault="00000000" w:rsidRPr="00000000" w14:paraId="0000002C">
                  <w:pPr>
                    <w:spacing w:after="0" w:line="240" w:lineRule="auto"/>
                    <w:jc w:val="center"/>
                    <w:rPr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Nastavni oblik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shd w:fill="b3e5a1" w:val="clear"/>
                  <w:vAlign w:val="center"/>
                </w:tcPr>
                <w:p w:rsidR="00000000" w:rsidDel="00000000" w:rsidP="00000000" w:rsidRDefault="00000000" w:rsidRPr="00000000" w14:paraId="0000002D">
                  <w:pPr>
                    <w:spacing w:after="0" w:line="240" w:lineRule="auto"/>
                    <w:jc w:val="center"/>
                    <w:rPr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Aktivnosti učenja i poučavanja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E">
                  <w:pPr>
                    <w:spacing w:after="0" w:line="240" w:lineRule="auto"/>
                    <w:rPr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shd w:fill="b3e5a1" w:val="clear"/>
                  <w:vAlign w:val="center"/>
                </w:tcPr>
                <w:p w:rsidR="00000000" w:rsidDel="00000000" w:rsidP="00000000" w:rsidRDefault="00000000" w:rsidRPr="00000000" w14:paraId="0000002F">
                  <w:pPr>
                    <w:tabs>
                      <w:tab w:val="left" w:leader="none" w:pos="270"/>
                      <w:tab w:val="center" w:leader="none" w:pos="756"/>
                    </w:tabs>
                    <w:spacing w:after="0" w:line="240" w:lineRule="auto"/>
                    <w:jc w:val="center"/>
                    <w:rPr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Vrednovanje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62" w:hRule="atLeast"/>
                <w:tblHeader w:val="0"/>
              </w:trPr>
              <w:tc>
                <w:tcPr>
                  <w:vMerge w:val="continue"/>
                  <w:shd w:fill="b3e5a1" w:val="clear"/>
                  <w:vAlign w:val="center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b3e5a1" w:val="clear"/>
                  <w:vAlign w:val="center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b3e5a1" w:val="clear"/>
                  <w:vAlign w:val="center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b3e5a1" w:val="clear"/>
                  <w:vAlign w:val="center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shd w:fill="b3e5a1" w:val="clear"/>
                  <w:vAlign w:val="center"/>
                </w:tcPr>
                <w:p w:rsidR="00000000" w:rsidDel="00000000" w:rsidP="00000000" w:rsidRDefault="00000000" w:rsidRPr="00000000" w14:paraId="00000036">
                  <w:pPr>
                    <w:spacing w:after="0" w:line="240" w:lineRule="auto"/>
                    <w:jc w:val="center"/>
                    <w:rPr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Način praćenja i procjenjivanja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shd w:fill="b3e5a1" w:val="clear"/>
                  <w:vAlign w:val="center"/>
                </w:tcPr>
                <w:p w:rsidR="00000000" w:rsidDel="00000000" w:rsidP="00000000" w:rsidRDefault="00000000" w:rsidRPr="00000000" w14:paraId="00000037">
                  <w:pPr>
                    <w:tabs>
                      <w:tab w:val="left" w:leader="none" w:pos="270"/>
                      <w:tab w:val="center" w:leader="none" w:pos="756"/>
                    </w:tabs>
                    <w:spacing w:after="0" w:line="240" w:lineRule="auto"/>
                    <w:jc w:val="center"/>
                    <w:rPr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Ocjenjivanje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8">
                  <w:pPr>
                    <w:tabs>
                      <w:tab w:val="left" w:leader="none" w:pos="270"/>
                      <w:tab w:val="center" w:leader="none" w:pos="756"/>
                    </w:tabs>
                    <w:spacing w:after="0" w:line="240" w:lineRule="auto"/>
                    <w:jc w:val="center"/>
                    <w:rPr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Bodovi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62" w:hRule="atLeast"/>
                <w:tblHeader w:val="0"/>
              </w:trPr>
              <w:tc>
                <w:tcPr>
                  <w:vMerge w:val="continue"/>
                  <w:shd w:fill="b3e5a1" w:val="clear"/>
                  <w:vAlign w:val="center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b3e5a1" w:val="clear"/>
                  <w:vAlign w:val="center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b3e5a1" w:val="clear"/>
                  <w:vAlign w:val="center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b3e5a1" w:val="clear"/>
                  <w:vAlign w:val="center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b3e5a1" w:val="clear"/>
                  <w:vAlign w:val="center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b3e5a1" w:val="clear"/>
                  <w:vAlign w:val="center"/>
                </w:tcPr>
                <w:p w:rsidR="00000000" w:rsidDel="00000000" w:rsidP="00000000" w:rsidRDefault="00000000" w:rsidRPr="00000000" w14:paraId="0000003F">
                  <w:pPr>
                    <w:tabs>
                      <w:tab w:val="left" w:leader="none" w:pos="270"/>
                      <w:tab w:val="center" w:leader="none" w:pos="756"/>
                    </w:tabs>
                    <w:spacing w:after="0" w:line="240" w:lineRule="auto"/>
                    <w:jc w:val="center"/>
                    <w:rPr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min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b3e5a1" w:val="clear"/>
                  <w:vAlign w:val="center"/>
                </w:tcPr>
                <w:p w:rsidR="00000000" w:rsidDel="00000000" w:rsidP="00000000" w:rsidRDefault="00000000" w:rsidRPr="00000000" w14:paraId="00000040">
                  <w:pPr>
                    <w:tabs>
                      <w:tab w:val="left" w:leader="none" w:pos="270"/>
                      <w:tab w:val="center" w:leader="none" w:pos="756"/>
                    </w:tabs>
                    <w:spacing w:after="0" w:line="240" w:lineRule="auto"/>
                    <w:jc w:val="center"/>
                    <w:rPr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max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41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1-5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0,5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Predavanje 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Kritički vođena rasprava </w:t>
                  </w:r>
                </w:p>
                <w:p w:rsidR="00000000" w:rsidDel="00000000" w:rsidP="00000000" w:rsidRDefault="00000000" w:rsidRPr="00000000" w14:paraId="0000004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Evidencija aktivnog i samostalnog angažmana tijekom rasprave </w:t>
                  </w:r>
                </w:p>
                <w:p w:rsidR="00000000" w:rsidDel="00000000" w:rsidP="00000000" w:rsidRDefault="00000000" w:rsidRPr="00000000" w14:paraId="0000004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10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20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4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1-5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2,5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Seminar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D">
                  <w:pPr>
                    <w:spacing w:after="0" w:line="240" w:lineRule="auto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Samostalni rad na zadatcima osmišljenim prema ishodima;</w:t>
                  </w:r>
                </w:p>
                <w:p w:rsidR="00000000" w:rsidDel="00000000" w:rsidP="00000000" w:rsidRDefault="00000000" w:rsidRPr="00000000" w14:paraId="0000004E">
                  <w:pPr>
                    <w:spacing w:after="0" w:line="240" w:lineRule="auto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samostalna izrada prijedloga upravljanja.</w:t>
                  </w:r>
                </w:p>
                <w:p w:rsidR="00000000" w:rsidDel="00000000" w:rsidP="00000000" w:rsidRDefault="00000000" w:rsidRPr="00000000" w14:paraId="0000004F">
                  <w:pPr>
                    <w:spacing w:after="0" w:line="240" w:lineRule="auto"/>
                    <w:jc w:val="center"/>
                    <w:rPr>
                      <w:i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Analiza zadataka i prijedloga upravljanja 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1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25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40</w:t>
                  </w:r>
                </w:p>
              </w:tc>
            </w:tr>
            <w:tr>
              <w:trPr>
                <w:cantSplit w:val="0"/>
                <w:trHeight w:val="653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5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1-5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Pisani dio ispita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Priprema za pisani ispit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Pisani dio ispita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25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40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5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vertAlign w:val="baseline"/>
                      <w:rtl w:val="0"/>
                    </w:rPr>
                    <w:t xml:space="preserve">Ukupno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B">
                  <w:pPr>
                    <w:spacing w:after="0" w:line="240" w:lineRule="auto"/>
                    <w:jc w:val="center"/>
                    <w:rPr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F">
                  <w:pPr>
                    <w:spacing w:after="0" w:line="240" w:lineRule="auto"/>
                    <w:jc w:val="center"/>
                    <w:rPr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60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60">
                  <w:pPr>
                    <w:spacing w:after="0" w:line="240" w:lineRule="auto"/>
                    <w:jc w:val="center"/>
                    <w:rPr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100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Završna ocjena: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60-70  bodova: ocjena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71-80  bodova: ocjena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81-90  bodova: ocjena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91-100 bodova: ocjena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b3e5a1" w:val="clear"/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Konzultacije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right w:color="808080" w:space="0" w:sz="4" w:val="single"/>
            </w:tcBorders>
            <w:shd w:fill="b3e5a1" w:val="clear"/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Nastava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Predavanja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Seminari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Vježbe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b3e5a1" w:val="clear"/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Ukupno sati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b3e5a1" w:val="clear"/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Sadržaj / nastavne cjeline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b w:val="0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1. Uvod u kolegij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2. Analiza sustava: ulazno-izlazna, stabilnost i održivost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3. Praćenje, kontrola i upravljanje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4. Ekologija, ekonomija i pravo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5. Načela gospodarenja prostorom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6. Prihvatni kapacitet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7. Čišća proizvodnja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8. Analiza životnog ciklusa proizvoda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9. Upravljanje kompleksnim adaptabilnim sustavima i održivi razvoj</w:t>
            </w:r>
          </w:p>
        </w:tc>
      </w:tr>
      <w:tr>
        <w:trPr>
          <w:cantSplit w:val="0"/>
          <w:trHeight w:val="717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b3e5a1" w:val="clear"/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Preporučena literatura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Hunter M.L., Gibbs J. Fundamentals of conservation biology,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th Edition. Wiley, 20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Silva F.J.G., Gouveia R.M. Cleaner Production: Toward a Better Future. Springer Cham, 2020.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Mulholland K.L. Identification of cleaner production improvement opportunities. Wiley, 2006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Tietenberg T., Lewis L. Environmental and Natural Resource Economics, Routledge, 2018.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b3e5a1" w:val="clear"/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Dopunska literatura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Redclift M., Springett D. Routledge International Handbook of Sustainable Development. Routledge, 2017.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Common M., Stagl S. Ecological  Economics. Cambridge, 2005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b3e5a1" w:val="clear"/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Uvjeti za potpis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Studenti su obavezni aktivno sudjelovati u nastavi i izvršavati sve zadatke.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b3e5a1" w:val="clear"/>
            <w:vAlign w:val="top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Način polaganja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Nastavnik tijekom održavanja predmeta prati i procjenjuje sve aktivnosti studenata dodjeljivanjem bodova prema izrađenim kriterijima unaprijed  predstavljenim studentima. Na kraju studenti pišu pisani dio ispita. Prikupljen broj bodova na pisanom ispitu zajedno s ostalim bodovima prikupljenim tijekom održavanja predmeta određuje postignutu ocjenu.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b3e5a1" w:val="clear"/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Jezik poduke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Hrvatski ili engleski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b3e5a1" w:val="clear"/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Način praćenja kvalitete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Nastavnik tijekom održavanja kolegija pristupa vrednovanju za učenje- kontinuirano prati proces učenja i postignuća studenata čime usmjerava i prilagođava poučavanje. Na kraju provodi anketu sa studentima o njihovom subjektivnom doživljaju kvalitete nastave kako bi unaprijedio buduće poučavanje.  </w:t>
            </w:r>
          </w:p>
        </w:tc>
      </w:tr>
    </w:tbl>
    <w:p w:rsidR="00000000" w:rsidDel="00000000" w:rsidP="00000000" w:rsidRDefault="00000000" w:rsidRPr="00000000" w14:paraId="0000009D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hr-HR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EndnoteText">
    <w:name w:val="Endnote Text"/>
    <w:basedOn w:val="Normal"/>
    <w:next w:val="Endnote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hr-HR"/>
    </w:rPr>
  </w:style>
  <w:style w:type="character" w:styleId="EndnoteTextChar">
    <w:name w:val="Endnote Text Char"/>
    <w:next w:val="EndnoteText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EndnoteReference">
    <w:name w:val="Endnote Reference"/>
    <w:next w:val="EndnoteReference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hr-HR" w:val="hr-HR"/>
    </w:rPr>
  </w:style>
  <w:style w:type="character" w:styleId="apple-converted-space">
    <w:name w:val="apple-converted-space"/>
    <w:basedOn w:val="DefaultParagraphFont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nBv9cKK/S5pbZPYgzWJEDXAVoQ==">CgMxLjA4AHIhMTdlUXc3UWo2NGJTRTUyWkZUNkk3SFRWZFd6YnhQbThv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2024-07-03T18:50:00Z</dcterms:created>
  <dc:creator>juraj srepfler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7e1509de5a8ac8edfcc2eb47ce1f57210c4790a353d4ee68e0c011a3da1bd001</vt:lpwstr>
  </property>
</Properties>
</file>