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2493"/>
        <w:gridCol w:w="2493"/>
        <w:gridCol w:w="2513"/>
      </w:tblGrid>
      <w:tr w:rsidR="00DE25DC" w14:paraId="23502B95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05E5DF1B" w14:textId="77777777" w:rsidR="00DE25DC" w:rsidRPr="009E21F1" w:rsidRDefault="00E271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21F1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5EACB95E" w14:textId="77777777" w:rsidR="00DE25DC" w:rsidRDefault="00E271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METODIKA IZRADE ZNANSTVENOG RADA</w:t>
            </w:r>
          </w:p>
        </w:tc>
      </w:tr>
      <w:tr w:rsidR="00DE25DC" w14:paraId="1E662E63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55A4C433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Šifra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2D07C6E6" w14:textId="2F0DC725" w:rsidR="00DE25DC" w:rsidRDefault="009E21F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259298</w:t>
            </w:r>
          </w:p>
        </w:tc>
      </w:tr>
      <w:tr w:rsidR="00DE25DC" w14:paraId="5F47428B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510E54B8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Studij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2DD4FEFF" w14:textId="320DCBD0" w:rsidR="00DE25DC" w:rsidRDefault="00CB7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Doktorski studij Zaštita prirode i okoliša</w:t>
            </w:r>
          </w:p>
        </w:tc>
      </w:tr>
      <w:tr w:rsidR="00DE25DC" w14:paraId="7F63E60B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4BD0BA64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Semestar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218B7DC0" w14:textId="33E0C9CE" w:rsidR="00DE25DC" w:rsidRDefault="00E271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</w:tr>
      <w:tr w:rsidR="00DE25DC" w14:paraId="31E2D0F2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367D3626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 xml:space="preserve">ECTS 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C9316E9" w14:textId="77777777" w:rsidR="00DE25DC" w:rsidRDefault="00E271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25DC" w14:paraId="10485F29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6576A7C2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Status predmeta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40EA122" w14:textId="77777777" w:rsidR="00DE25DC" w:rsidRDefault="00E271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Obvezatni</w:t>
            </w:r>
          </w:p>
        </w:tc>
      </w:tr>
      <w:tr w:rsidR="00DE25DC" w14:paraId="0BF7D307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39B3695D" w14:textId="77777777" w:rsidR="00DE25DC" w:rsidRPr="009E21F1" w:rsidRDefault="00E271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Cilj predmeta</w:t>
            </w:r>
            <w:r w:rsidRPr="009E21F1">
              <w:rPr>
                <w:b/>
                <w:sz w:val="20"/>
                <w:szCs w:val="20"/>
                <w:lang w:eastAsia="hr-HR"/>
              </w:rPr>
              <w:t xml:space="preserve"> </w:t>
            </w:r>
          </w:p>
          <w:p w14:paraId="32DDDF31" w14:textId="77777777" w:rsidR="00DE25DC" w:rsidRPr="009E21F1" w:rsidRDefault="00DE25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04C81C71" w14:textId="77777777" w:rsidR="00DE25DC" w:rsidRDefault="00E271A3">
            <w:pPr>
              <w:pStyle w:val="Default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Ovladati metodom znanstvenog istraživanja i znanstvenim jezikom te razumjeti kako znanost utječe na društvo.   </w:t>
            </w:r>
          </w:p>
        </w:tc>
      </w:tr>
      <w:tr w:rsidR="00DE25DC" w14:paraId="6A26BB66" w14:textId="77777777" w:rsidTr="009E21F1">
        <w:trPr>
          <w:trHeight w:val="1384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3D675AF5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Ishodi učenja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4119314F" w14:textId="77777777" w:rsidR="00DE25DC" w:rsidRDefault="00E27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Postaviti hipotezu temeljem opažanja i istraživanja relevantne literature; </w:t>
            </w:r>
          </w:p>
          <w:p w14:paraId="7E858866" w14:textId="77777777" w:rsidR="00DE25DC" w:rsidRDefault="00E27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Planirati postupak testiranja hipoteze;</w:t>
            </w:r>
          </w:p>
          <w:p w14:paraId="63CEB60D" w14:textId="77777777" w:rsidR="00DE25DC" w:rsidRDefault="00E27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Interpretirati rezultate i zaključiti na temelju rezultata;</w:t>
            </w:r>
          </w:p>
          <w:p w14:paraId="0C2AFA73" w14:textId="77777777" w:rsidR="00DE25DC" w:rsidRDefault="00E27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Kritički interpretirati znanstvene informacije i izvore tih informacija;</w:t>
            </w:r>
          </w:p>
          <w:p w14:paraId="67D6CC91" w14:textId="77777777" w:rsidR="00DE25DC" w:rsidRDefault="00E271A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izvještaj znanstvenog istraživanja. </w:t>
            </w:r>
          </w:p>
          <w:p w14:paraId="3672B8C2" w14:textId="77777777" w:rsidR="00DE25DC" w:rsidRDefault="00E2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5DC" w14:paraId="1A131424" w14:textId="77777777" w:rsidTr="009E21F1">
        <w:trPr>
          <w:trHeight w:val="70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6AF0187C" w14:textId="77777777" w:rsidR="00DE25DC" w:rsidRPr="009E21F1" w:rsidRDefault="00E271A3">
            <w:pPr>
              <w:spacing w:after="0" w:line="240" w:lineRule="auto"/>
            </w:pPr>
            <w:r w:rsidRPr="009E21F1">
              <w:rPr>
                <w:b/>
                <w:sz w:val="20"/>
                <w:szCs w:val="20"/>
              </w:rPr>
              <w:t>Povezanost ishoda učenja, nastavne aktivnosti i aktivnosti studenata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tbl>
            <w:tblPr>
              <w:tblW w:w="764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56"/>
              <w:gridCol w:w="613"/>
              <w:gridCol w:w="1214"/>
              <w:gridCol w:w="1803"/>
              <w:gridCol w:w="1578"/>
              <w:gridCol w:w="748"/>
              <w:gridCol w:w="832"/>
            </w:tblGrid>
            <w:tr w:rsidR="00DE25DC" w14:paraId="32D7473D" w14:textId="77777777" w:rsidTr="009E21F1">
              <w:trPr>
                <w:cantSplit/>
                <w:trHeight w:val="570"/>
                <w:jc w:val="center"/>
              </w:trPr>
              <w:tc>
                <w:tcPr>
                  <w:tcW w:w="8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17E8447C" w14:textId="77777777" w:rsidR="00DE25DC" w:rsidRPr="009E21F1" w:rsidRDefault="00E271A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 xml:space="preserve">Ishod učenja 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44981134" w14:textId="77777777" w:rsidR="00DE25DC" w:rsidRPr="009E21F1" w:rsidRDefault="00E271A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Udio ECTS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18D8CEA9" w14:textId="77777777" w:rsidR="00DE25DC" w:rsidRPr="009E21F1" w:rsidRDefault="00E271A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 xml:space="preserve">Nastavni oblik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507CE9E8" w14:textId="77777777" w:rsidR="00DE25DC" w:rsidRPr="009E21F1" w:rsidRDefault="00E271A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Aktivnosti učenja i poučavanja</w:t>
                  </w:r>
                </w:p>
                <w:p w14:paraId="6326522E" w14:textId="77777777" w:rsidR="00DE25DC" w:rsidRPr="009E21F1" w:rsidRDefault="00DE25D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502B93F0" w14:textId="77777777" w:rsidR="00DE25DC" w:rsidRPr="009E21F1" w:rsidRDefault="00E271A3">
                  <w:pPr>
                    <w:tabs>
                      <w:tab w:val="left" w:pos="270"/>
                      <w:tab w:val="center" w:pos="756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Vrednovanje</w:t>
                  </w:r>
                </w:p>
              </w:tc>
            </w:tr>
            <w:tr w:rsidR="00DE25DC" w14:paraId="23C421CA" w14:textId="77777777" w:rsidTr="009E21F1">
              <w:trPr>
                <w:cantSplit/>
                <w:trHeight w:val="262"/>
                <w:jc w:val="center"/>
              </w:trPr>
              <w:tc>
                <w:tcPr>
                  <w:tcW w:w="8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07D4BBF7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073BAD2E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176F64E7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277EA552" w14:textId="77777777" w:rsidR="00DE25DC" w:rsidRPr="009E21F1" w:rsidRDefault="00DE25DC">
                  <w:pPr>
                    <w:snapToGrid w:val="0"/>
                    <w:spacing w:after="0" w:line="240" w:lineRule="auto"/>
                    <w:ind w:left="113" w:right="11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4099057E" w14:textId="77777777" w:rsidR="00DE25DC" w:rsidRPr="009E21F1" w:rsidRDefault="00E271A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Način praćenja i procjenjivanja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49749049" w14:textId="77777777" w:rsidR="00DE25DC" w:rsidRPr="009E21F1" w:rsidRDefault="00E271A3">
                  <w:pPr>
                    <w:tabs>
                      <w:tab w:val="left" w:pos="270"/>
                      <w:tab w:val="center" w:pos="756"/>
                    </w:tabs>
                    <w:spacing w:after="0" w:line="240" w:lineRule="auto"/>
                    <w:jc w:val="center"/>
                  </w:pPr>
                  <w:r w:rsidRPr="009E21F1">
                    <w:rPr>
                      <w:b/>
                      <w:sz w:val="20"/>
                      <w:szCs w:val="20"/>
                    </w:rPr>
                    <w:t>Ocjenjivanje</w:t>
                  </w:r>
                </w:p>
                <w:p w14:paraId="17D00E5F" w14:textId="77777777" w:rsidR="00DE25DC" w:rsidRPr="009E21F1" w:rsidRDefault="00E271A3">
                  <w:pPr>
                    <w:tabs>
                      <w:tab w:val="left" w:pos="270"/>
                      <w:tab w:val="center" w:pos="756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Bodovi</w:t>
                  </w:r>
                </w:p>
              </w:tc>
            </w:tr>
            <w:tr w:rsidR="00DE25DC" w14:paraId="57F60788" w14:textId="77777777" w:rsidTr="009E21F1">
              <w:trPr>
                <w:cantSplit/>
                <w:trHeight w:val="262"/>
                <w:jc w:val="center"/>
              </w:trPr>
              <w:tc>
                <w:tcPr>
                  <w:tcW w:w="8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3650FC9A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5BF77EF4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40CE3CC5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42FE1B25" w14:textId="77777777" w:rsidR="00DE25DC" w:rsidRPr="009E21F1" w:rsidRDefault="00DE25DC">
                  <w:pPr>
                    <w:snapToGrid w:val="0"/>
                    <w:spacing w:after="0" w:line="240" w:lineRule="auto"/>
                    <w:ind w:left="113" w:right="11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29644285" w14:textId="77777777" w:rsidR="00DE25DC" w:rsidRPr="009E21F1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0658A743" w14:textId="77777777" w:rsidR="00DE25DC" w:rsidRPr="009E21F1" w:rsidRDefault="00E271A3">
                  <w:pPr>
                    <w:tabs>
                      <w:tab w:val="left" w:pos="270"/>
                      <w:tab w:val="center" w:pos="756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min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3E5A1"/>
                  <w:vAlign w:val="center"/>
                </w:tcPr>
                <w:p w14:paraId="121558A2" w14:textId="77777777" w:rsidR="00DE25DC" w:rsidRPr="009E21F1" w:rsidRDefault="00E271A3">
                  <w:pPr>
                    <w:tabs>
                      <w:tab w:val="left" w:pos="270"/>
                      <w:tab w:val="center" w:pos="756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1F1">
                    <w:rPr>
                      <w:b/>
                      <w:sz w:val="20"/>
                      <w:szCs w:val="20"/>
                    </w:rPr>
                    <w:t>max</w:t>
                  </w:r>
                </w:p>
              </w:tc>
            </w:tr>
            <w:tr w:rsidR="00DE25DC" w14:paraId="3A81CA7B" w14:textId="77777777">
              <w:trPr>
                <w:jc w:val="center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BCD97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5AE3E2" w14:textId="18BFF350" w:rsidR="00DE25DC" w:rsidRDefault="00CF799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540A1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Predavanje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D06B5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Obrnuta učionica;</w:t>
                  </w:r>
                </w:p>
                <w:p w14:paraId="7C26F34A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kritički vođena rasprava </w:t>
                  </w:r>
                </w:p>
                <w:p w14:paraId="7D505E28" w14:textId="77777777" w:rsidR="00DE25DC" w:rsidRDefault="00DE25D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9238A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Evidencija aktivnog i samostalnog angažmana tijekom rasprave </w:t>
                  </w:r>
                </w:p>
                <w:p w14:paraId="1E15141E" w14:textId="77777777" w:rsidR="00DE25DC" w:rsidRDefault="00DE25D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1721B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339EC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DE25DC" w14:paraId="5971329F" w14:textId="77777777">
              <w:trPr>
                <w:jc w:val="center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1AFEB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69F0B" w14:textId="593C9F03" w:rsidR="00DE25DC" w:rsidRDefault="009E21F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02637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Seminar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96CED2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Samostalno dizajniranje i provedba znanstvenog istraživanja uz izvještaj u obliku seminarskog rada organiziranog po principu znanstvenog rada; </w:t>
                  </w:r>
                </w:p>
                <w:p w14:paraId="628902AA" w14:textId="77777777" w:rsidR="00DE25DC" w:rsidRDefault="00E271A3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kritička interpretacija znanstvenih radova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819FB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Analiza i izlaganje seminarskog rada; praćenje aktivnosti tijekom interpretacije  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97ADE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B5178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DE25DC" w14:paraId="3358E3E5" w14:textId="77777777">
              <w:trPr>
                <w:trHeight w:val="653"/>
                <w:jc w:val="center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FE948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5621A" w14:textId="4EB38D32" w:rsidR="00DE25DC" w:rsidRDefault="009E21F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124FC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4B176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Priprema za usmeni  ispit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28D483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D547E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F5ABD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DE25DC" w14:paraId="31B19747" w14:textId="77777777">
              <w:trPr>
                <w:jc w:val="center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B9CDC" w14:textId="77777777" w:rsidR="00DE25DC" w:rsidRDefault="00E271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D8780" w14:textId="77777777" w:rsidR="00DE25DC" w:rsidRDefault="00E271A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B422C7" w14:textId="77777777" w:rsidR="00DE25DC" w:rsidRDefault="00DE25DC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A6E7A3" w14:textId="77777777" w:rsidR="00DE25DC" w:rsidRDefault="00DE25DC">
                  <w:pPr>
                    <w:snapToGri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12CA9" w14:textId="77777777" w:rsidR="00DE25DC" w:rsidRDefault="00DE25DC">
                  <w:pPr>
                    <w:snapToGri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EB1E12" w14:textId="77777777" w:rsidR="00DE25DC" w:rsidRDefault="00E271A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ED67BD" w14:textId="77777777" w:rsidR="00DE25DC" w:rsidRDefault="00E271A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5053B90" w14:textId="77777777" w:rsidR="00DE25DC" w:rsidRDefault="00E271A3">
            <w:pPr>
              <w:suppressAutoHyphens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Završna ocjena:</w:t>
            </w:r>
          </w:p>
          <w:p w14:paraId="34CAC2B4" w14:textId="77777777" w:rsidR="00DE25DC" w:rsidRDefault="00E271A3">
            <w:pPr>
              <w:suppressAutoHyphens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60-70  bodova: ocjena 2</w:t>
            </w:r>
          </w:p>
          <w:p w14:paraId="619C407D" w14:textId="77777777" w:rsidR="00DE25DC" w:rsidRDefault="00E271A3">
            <w:pPr>
              <w:suppressAutoHyphens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71-80  bodova: ocjena 3</w:t>
            </w:r>
          </w:p>
          <w:p w14:paraId="4262F817" w14:textId="77777777" w:rsidR="00DE25DC" w:rsidRDefault="00E271A3">
            <w:pPr>
              <w:suppressAutoHyphens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81-90  bodova: ocjena 4</w:t>
            </w:r>
          </w:p>
          <w:p w14:paraId="15849349" w14:textId="09626C17" w:rsidR="00DE25DC" w:rsidRDefault="00E271A3" w:rsidP="00EA702A">
            <w:pPr>
              <w:suppressAutoHyphens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91-100 bodova: ocjena 5</w:t>
            </w:r>
          </w:p>
        </w:tc>
      </w:tr>
      <w:tr w:rsidR="00DE25DC" w14:paraId="4FAEE351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68F85A87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Konzultacije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AB5E8C1" w14:textId="77777777" w:rsidR="00DE25DC" w:rsidRDefault="00DE25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25DC" w14:paraId="38AAD26E" w14:textId="77777777" w:rsidTr="009E21F1">
        <w:trPr>
          <w:trHeight w:val="286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B3E5A1"/>
          </w:tcPr>
          <w:p w14:paraId="035384E7" w14:textId="77777777" w:rsidR="00DE25DC" w:rsidRPr="009E21F1" w:rsidRDefault="00E271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 xml:space="preserve">Nastava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361E49AA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42FCDDFF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Seminari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4F1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Vježbe</w:t>
            </w:r>
          </w:p>
        </w:tc>
      </w:tr>
      <w:tr w:rsidR="00DE25DC" w14:paraId="63503AD6" w14:textId="77777777" w:rsidTr="009E21F1">
        <w:trPr>
          <w:trHeight w:val="487"/>
        </w:trPr>
        <w:tc>
          <w:tcPr>
            <w:tcW w:w="180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0C5789A0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 xml:space="preserve">Sati/tjedan ukupno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1547736E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7123EE31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A75C697" w14:textId="77777777" w:rsidR="00DE25DC" w:rsidRDefault="00E2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25DC" w14:paraId="55D68831" w14:textId="77777777" w:rsidTr="009E21F1">
        <w:trPr>
          <w:trHeight w:val="63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17EE157C" w14:textId="77777777" w:rsidR="00DE25DC" w:rsidRPr="009E21F1" w:rsidRDefault="00E271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Sadržaj / nastavne cjeline</w:t>
            </w:r>
          </w:p>
          <w:p w14:paraId="23BB058C" w14:textId="77777777" w:rsidR="00DE25DC" w:rsidRPr="009E21F1" w:rsidRDefault="00DE25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58D09AFC" w14:textId="77777777" w:rsidR="00DE25DC" w:rsidRDefault="00E271A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Znanje i znanost. Klasični empirizam, transcendentalni idealizam i transcendentalni realizam. Detekcija i deskripcija fenomena. Uzročnost, aktualizam, determinizam. Paradigma djelovanja. Otvoreni i zatvoreni sustavi. Znanstvene teorije i hipoteze. Znanstvena logika. Deterministički i stohastički sustavi. Redukcionizam i holizam. Uloga i </w:t>
            </w:r>
            <w:r>
              <w:rPr>
                <w:sz w:val="20"/>
                <w:szCs w:val="20"/>
              </w:rPr>
              <w:lastRenderedPageBreak/>
              <w:t>značaj statistike. Statistička načela dizajna pokusa. Teorijski pokusi. Pokusi u laboratorijima. Pokusi u okolišu. Predvidive i nepredvidive greške te šum. Interpretacija rezultata. Hipoteze i teorije. Stabilnost rezultata. Načela publiciranja znanstvenih radova. Izvori znanstvenih radova. Metode pisanja i prikazivanja rezultata znanstvenog rada.</w:t>
            </w:r>
          </w:p>
        </w:tc>
      </w:tr>
      <w:tr w:rsidR="00DE25DC" w14:paraId="583C50A3" w14:textId="77777777" w:rsidTr="009E21F1">
        <w:trPr>
          <w:trHeight w:val="717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2233A70E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lastRenderedPageBreak/>
              <w:t>Preporučena literatura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831A" w14:textId="77777777" w:rsidR="00DE25DC" w:rsidRPr="009E21F1" w:rsidRDefault="00E271A3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9E21F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Leedy D. P. , Ormrod E. J., Practical Research – Planning and Design, (12th Ed., 2020.), Pearson</w:t>
            </w:r>
          </w:p>
          <w:p w14:paraId="395E4D12" w14:textId="77777777" w:rsidR="00DE25DC" w:rsidRPr="009E21F1" w:rsidRDefault="00E271A3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9E21F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Rosenberg A., McIntyre L., Phylosophy of Science – A Contemporary Introduction (4th Ed. 2020.), Routlege Taylor &amp; Francis Group</w:t>
            </w:r>
          </w:p>
          <w:p w14:paraId="71BF7019" w14:textId="77777777" w:rsidR="00DE25DC" w:rsidRPr="009E21F1" w:rsidRDefault="00E271A3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shd w:val="clear" w:color="auto" w:fill="FFBF00"/>
              </w:rPr>
            </w:pPr>
            <w:r w:rsidRPr="009E21F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Bordenss S. K. , Abbott B.B., Research Design and Methods – A Process Approach (11th Ed. 2022.) Mc Graw Hill</w:t>
            </w:r>
          </w:p>
        </w:tc>
      </w:tr>
      <w:tr w:rsidR="00DE25DC" w14:paraId="4FB212C8" w14:textId="77777777" w:rsidTr="009E21F1">
        <w:trPr>
          <w:trHeight w:val="767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1CEE6A3D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E21F1">
              <w:rPr>
                <w:b/>
                <w:sz w:val="20"/>
                <w:szCs w:val="20"/>
              </w:rPr>
              <w:t>Dopunska literatura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64A8" w14:textId="77777777" w:rsidR="00DE25DC" w:rsidRPr="009E21F1" w:rsidRDefault="00E2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E21F1">
              <w:rPr>
                <w:sz w:val="20"/>
                <w:szCs w:val="20"/>
              </w:rPr>
              <w:t>Onwuegbuzie J. A., Johnson B. R., The Routledge Reviewer's Guide to Mixed Methods Analysis, (2021.), Routledge</w:t>
            </w:r>
          </w:p>
          <w:p w14:paraId="031820E1" w14:textId="77777777" w:rsidR="00DE25DC" w:rsidRPr="009E21F1" w:rsidRDefault="00E271A3">
            <w:pPr>
              <w:spacing w:after="0" w:line="240" w:lineRule="auto"/>
              <w:jc w:val="both"/>
              <w:rPr>
                <w:shd w:val="clear" w:color="auto" w:fill="FFBF00"/>
              </w:rPr>
            </w:pPr>
            <w:r w:rsidRPr="009E21F1">
              <w:rPr>
                <w:sz w:val="20"/>
                <w:szCs w:val="20"/>
              </w:rPr>
              <w:t>Wang W. Phylosophy of Science – An Introduction to the Central Issues, (2021), Routledge Taylor &amp; Francis Group</w:t>
            </w:r>
          </w:p>
        </w:tc>
      </w:tr>
      <w:tr w:rsidR="00DE25DC" w14:paraId="38A28616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7D876D16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Uvjeti za potpis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4F70E232" w14:textId="77777777" w:rsidR="00DE25DC" w:rsidRDefault="00E271A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su obavezni aktivno sudjelovati u nastavi i izvršavati sve zadatke.</w:t>
            </w:r>
          </w:p>
        </w:tc>
      </w:tr>
      <w:tr w:rsidR="00DE25DC" w14:paraId="512133F6" w14:textId="77777777" w:rsidTr="009E21F1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4DFEBF60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Način polaganja ispita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4100A75B" w14:textId="77777777" w:rsidR="00DE25DC" w:rsidRDefault="00E271A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Nastavnik tijekom održavanja predmeta prati i procjenjuje sve aktivnosti studenata dodjeljivanjem bodova prema izrađenim kriterijima unaprijed  predstavljenim studentima. Na kraju studenti pristupaju usmenom ispitu. Prikupljen broj bodova na usmenom ispitu zajedno s ostalim bodovima prikupljenim tijekom održavanja predmeta određuje postignutu ocjenu.</w:t>
            </w:r>
          </w:p>
        </w:tc>
      </w:tr>
      <w:tr w:rsidR="00DE25DC" w14:paraId="108F23BE" w14:textId="77777777" w:rsidTr="009E21F1">
        <w:trPr>
          <w:trHeight w:val="1030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01D33F69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Jezik poduke i mogućnosti praćenja na drugim jezicima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6DC" w14:textId="77777777" w:rsidR="00DE25DC" w:rsidRDefault="00E271A3">
            <w:pPr>
              <w:spacing w:after="0" w:line="240" w:lineRule="auto"/>
            </w:pPr>
            <w:r>
              <w:rPr>
                <w:sz w:val="20"/>
                <w:szCs w:val="20"/>
              </w:rPr>
              <w:t>Hrvatski. Mogućnost organizacije praćenja nastave na engleskom jeziku.</w:t>
            </w:r>
          </w:p>
        </w:tc>
      </w:tr>
      <w:tr w:rsidR="00DE25DC" w14:paraId="3176A302" w14:textId="77777777" w:rsidTr="009E21F1">
        <w:trPr>
          <w:trHeight w:val="1030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E5A1"/>
          </w:tcPr>
          <w:p w14:paraId="5E5AF4E2" w14:textId="77777777" w:rsidR="00DE25DC" w:rsidRPr="009E21F1" w:rsidRDefault="00E271A3">
            <w:pPr>
              <w:spacing w:after="0" w:line="240" w:lineRule="auto"/>
              <w:rPr>
                <w:sz w:val="20"/>
                <w:szCs w:val="20"/>
              </w:rPr>
            </w:pPr>
            <w:r w:rsidRPr="009E21F1">
              <w:rPr>
                <w:b/>
                <w:sz w:val="20"/>
                <w:szCs w:val="20"/>
              </w:rPr>
              <w:t>Način praćenja kvalitete i uspješnosti izvedbe predmeta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271592B" w14:textId="77777777" w:rsidR="00DE25DC" w:rsidRDefault="00E271A3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Nastavnik tijekom održavanja kolegija pristupa vrednovanju za učenje- kontinuirano prati proces učenja i postignuća studenata čime usmjerava i prilagođava poučavanje. Na kraju provodi anketu sa studentima o njihovom subjektivnom doživljaju kvalitete nastave kako bi unaprijedio buduće poučavanje.  </w:t>
            </w:r>
          </w:p>
        </w:tc>
      </w:tr>
    </w:tbl>
    <w:p w14:paraId="2F585C25" w14:textId="77777777" w:rsidR="00DE25DC" w:rsidRDefault="00DE25DC"/>
    <w:sectPr w:rsidR="00DE25DC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04E"/>
    <w:multiLevelType w:val="multilevel"/>
    <w:tmpl w:val="CA14D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E73A5"/>
    <w:multiLevelType w:val="multilevel"/>
    <w:tmpl w:val="A37AF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1435124">
    <w:abstractNumId w:val="0"/>
  </w:num>
  <w:num w:numId="2" w16cid:durableId="65452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DC"/>
    <w:rsid w:val="009E21F1"/>
    <w:rsid w:val="00CB7B80"/>
    <w:rsid w:val="00CF7991"/>
    <w:rsid w:val="00D869D2"/>
    <w:rsid w:val="00DC7739"/>
    <w:rsid w:val="00DE25DC"/>
    <w:rsid w:val="00E271A3"/>
    <w:rsid w:val="00E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14B98"/>
  <w15:docId w15:val="{1728A5FF-5280-4A9B-AFCC-88FDE12A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Zadanifontodlomka1">
    <w:name w:val="Zadani font odlomka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eastAsia="Times New Roman" w:hAnsi="Verdana" w:cs="Verdana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Calibri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Calibri" w:hAnsi="Symbol" w:cs="Times New Roman"/>
      <w:b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Calibri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eastAsia="Calibri" w:hAnsi="Symbo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-Zadanifontodlomka">
    <w:name w:val="WW-Zadani font odlomka"/>
    <w:qFormat/>
  </w:style>
  <w:style w:type="character" w:customStyle="1" w:styleId="EndnoteTextChar">
    <w:name w:val="Endnote Text Char"/>
    <w:qFormat/>
    <w:rPr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eastAsia="Calibri" w:hAnsi="Tahoma" w:cs="Tahoma"/>
      <w:sz w:val="16"/>
      <w:szCs w:val="16"/>
      <w:lang w:val="hr-HR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;Calibri"/>
    </w:rPr>
  </w:style>
  <w:style w:type="paragraph" w:customStyle="1" w:styleId="Opisslike1">
    <w:name w:val="Opis slike1"/>
    <w:basedOn w:val="Normal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ekstbalonia1">
    <w:name w:val="Tekst balončića1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1D72D7AF2BF40AA23968F1FAAF974" ma:contentTypeVersion="10" ma:contentTypeDescription="Stvaranje novog dokumenta." ma:contentTypeScope="" ma:versionID="d8fd41bb316a202f46d6c99a62fc40db">
  <xsd:schema xmlns:xsd="http://www.w3.org/2001/XMLSchema" xmlns:xs="http://www.w3.org/2001/XMLSchema" xmlns:p="http://schemas.microsoft.com/office/2006/metadata/properties" xmlns:ns2="ea94adaf-af52-44fb-a44c-819f4ee1c7df" xmlns:ns3="9f26fa4c-3312-4d55-a870-234ce19330ea" targetNamespace="http://schemas.microsoft.com/office/2006/metadata/properties" ma:root="true" ma:fieldsID="d0e83fcde96258f19e933545667c6707" ns2:_="" ns3:_="">
    <xsd:import namespace="ea94adaf-af52-44fb-a44c-819f4ee1c7df"/>
    <xsd:import namespace="9f26fa4c-3312-4d55-a870-234ce193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adaf-af52-44fb-a44c-819f4ee1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fa4c-3312-4d55-a870-234ce1933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D309E-530B-4A8B-97AC-695957AD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4adaf-af52-44fb-a44c-819f4ee1c7df"/>
    <ds:schemaRef ds:uri="9f26fa4c-3312-4d55-a870-234ce193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18040-54FB-42CD-BDBA-43A7D26F3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3AD9F-1684-4FB1-9140-38D7689DC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3304</Characters>
  <Application>Microsoft Office Word</Application>
  <DocSecurity>0</DocSecurity>
  <Lines>194</Lines>
  <Paragraphs>119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Velić</dc:creator>
  <cp:lastModifiedBy>Maja Dutour Sikiric</cp:lastModifiedBy>
  <cp:revision>3</cp:revision>
  <dcterms:created xsi:type="dcterms:W3CDTF">2024-07-03T19:25:00Z</dcterms:created>
  <dcterms:modified xsi:type="dcterms:W3CDTF">2024-07-03T19:28:00Z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2022-04-20T12:51:00Z</dcterms:created>
  <dc:creator>juraj srepfler</dc:creator>
  <dc:description/>
  <cp:keywords/>
  <dc:language>en-US</dc:language>
  <cp:lastModifiedBy/>
  <dcterms:modified xsi:type="dcterms:W3CDTF">2024-06-20T23:29:11Z</dcterms:modified>
  <cp:revision>8</cp:revision>
  <dc:subject/>
  <dc:title>Naziv predmeta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0x010100B5B1D72D7AF2BF40AA23968F1FAAF974</vt:lpwstr>
  </property>
  <property fmtid="{D5CDD505-2E9C-101B-9397-08002B2CF9AE}" pid="3" name="GrammarlyDocumentId">
    <vt:lpwstr>bac1584f71cd1a7608df56b0b93c026fca03ce0f94e10fa92049a287b776927f</vt:lpwstr>
  </property>
</Properties>
</file>